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6D" w:rsidRPr="004D596D" w:rsidRDefault="004D596D" w:rsidP="004D596D">
      <w:pPr>
        <w:jc w:val="center"/>
        <w:rPr>
          <w:rFonts w:ascii="標楷體" w:eastAsia="標楷體" w:hAnsi="標楷體"/>
          <w:b/>
        </w:rPr>
      </w:pPr>
      <w:r w:rsidRPr="004D596D">
        <w:rPr>
          <w:rFonts w:ascii="標楷體" w:eastAsia="標楷體" w:hAnsi="標楷體" w:cs="新細明體" w:hint="eastAsia"/>
          <w:b/>
        </w:rPr>
        <w:t>國立宜蘭</w:t>
      </w:r>
      <w:r w:rsidRPr="004D596D">
        <w:rPr>
          <w:rFonts w:ascii="標楷體" w:eastAsia="標楷體" w:hAnsi="標楷體" w:cs="標楷體" w:hint="eastAsia"/>
          <w:b/>
        </w:rPr>
        <w:t>大學勞動型</w:t>
      </w:r>
      <w:r w:rsidRPr="004D596D">
        <w:rPr>
          <w:rFonts w:ascii="標楷體" w:eastAsia="標楷體" w:hAnsi="標楷體" w:cs="標楷體" w:hint="eastAsia"/>
          <w:b/>
          <w:lang w:eastAsia="zh-HK"/>
        </w:rPr>
        <w:t>學生兼任助理</w:t>
      </w:r>
      <w:r w:rsidRPr="004D596D">
        <w:rPr>
          <w:rFonts w:ascii="標楷體" w:eastAsia="標楷體" w:hAnsi="標楷體" w:cs="標楷體" w:hint="eastAsia"/>
          <w:b/>
        </w:rPr>
        <w:t>權益處理要點</w:t>
      </w:r>
    </w:p>
    <w:p w:rsidR="004D596D" w:rsidRDefault="004D596D" w:rsidP="004D596D">
      <w:pPr>
        <w:autoSpaceDE w:val="0"/>
        <w:autoSpaceDN w:val="0"/>
        <w:adjustRightInd w:val="0"/>
        <w:jc w:val="right"/>
        <w:rPr>
          <w:rFonts w:ascii="標楷體" w:eastAsia="標楷體" w:cs="標楷體" w:hint="eastAsia"/>
          <w:kern w:val="0"/>
          <w:sz w:val="20"/>
          <w:szCs w:val="20"/>
        </w:rPr>
      </w:pPr>
      <w:r w:rsidRPr="004D596D">
        <w:rPr>
          <w:rFonts w:ascii="標楷體" w:eastAsia="標楷體" w:cs="標楷體" w:hint="eastAsia"/>
          <w:kern w:val="0"/>
          <w:sz w:val="20"/>
          <w:szCs w:val="20"/>
        </w:rPr>
        <w:t>中華民國</w:t>
      </w:r>
      <w:r w:rsidRPr="004D596D">
        <w:rPr>
          <w:rFonts w:ascii="標楷體" w:eastAsia="標楷體" w:cs="標楷體"/>
          <w:kern w:val="0"/>
          <w:sz w:val="20"/>
          <w:szCs w:val="20"/>
        </w:rPr>
        <w:t>104</w:t>
      </w:r>
      <w:r w:rsidRPr="004D596D">
        <w:rPr>
          <w:rFonts w:ascii="標楷體" w:eastAsia="標楷體" w:cs="標楷體" w:hint="eastAsia"/>
          <w:kern w:val="0"/>
          <w:sz w:val="20"/>
          <w:szCs w:val="20"/>
        </w:rPr>
        <w:t>年</w:t>
      </w:r>
      <w:r w:rsidRPr="004D596D">
        <w:rPr>
          <w:rFonts w:ascii="標楷體" w:eastAsia="標楷體" w:cs="標楷體"/>
          <w:kern w:val="0"/>
          <w:sz w:val="20"/>
          <w:szCs w:val="20"/>
        </w:rPr>
        <w:t>10</w:t>
      </w:r>
      <w:r w:rsidRPr="004D596D">
        <w:rPr>
          <w:rFonts w:ascii="標楷體" w:eastAsia="標楷體" w:cs="標楷體" w:hint="eastAsia"/>
          <w:kern w:val="0"/>
          <w:sz w:val="20"/>
          <w:szCs w:val="20"/>
        </w:rPr>
        <w:t>月</w:t>
      </w:r>
      <w:r w:rsidRPr="004D596D">
        <w:rPr>
          <w:rFonts w:ascii="標楷體" w:eastAsia="標楷體" w:cs="標楷體"/>
          <w:kern w:val="0"/>
          <w:sz w:val="20"/>
          <w:szCs w:val="20"/>
        </w:rPr>
        <w:t>1</w:t>
      </w:r>
      <w:r w:rsidRPr="004D596D">
        <w:rPr>
          <w:rFonts w:ascii="標楷體" w:eastAsia="標楷體" w:cs="標楷體" w:hint="eastAsia"/>
          <w:kern w:val="0"/>
          <w:sz w:val="20"/>
          <w:szCs w:val="20"/>
        </w:rPr>
        <w:t>日 104學年度第</w:t>
      </w:r>
      <w:r w:rsidRPr="004D596D">
        <w:rPr>
          <w:rFonts w:ascii="標楷體" w:eastAsia="標楷體" w:cs="標楷體"/>
          <w:kern w:val="0"/>
          <w:sz w:val="20"/>
          <w:szCs w:val="20"/>
        </w:rPr>
        <w:t>1</w:t>
      </w:r>
      <w:r w:rsidRPr="004D596D">
        <w:rPr>
          <w:rFonts w:ascii="標楷體" w:eastAsia="標楷體" w:cs="標楷體" w:hint="eastAsia"/>
          <w:kern w:val="0"/>
          <w:sz w:val="20"/>
          <w:szCs w:val="20"/>
        </w:rPr>
        <w:t>次學生事務會議修正通過</w:t>
      </w:r>
      <w:r w:rsidRPr="004D596D">
        <w:rPr>
          <w:rFonts w:ascii="標楷體" w:eastAsia="標楷體" w:cs="標楷體"/>
          <w:kern w:val="0"/>
          <w:sz w:val="20"/>
          <w:szCs w:val="20"/>
        </w:rPr>
        <w:t xml:space="preserve"> </w:t>
      </w:r>
      <w:bookmarkStart w:id="0" w:name="_GoBack"/>
      <w:bookmarkEnd w:id="0"/>
    </w:p>
    <w:p w:rsidR="00631FC2" w:rsidRPr="004D596D" w:rsidRDefault="00631FC2" w:rsidP="004D596D">
      <w:pPr>
        <w:autoSpaceDE w:val="0"/>
        <w:autoSpaceDN w:val="0"/>
        <w:adjustRightInd w:val="0"/>
        <w:jc w:val="right"/>
        <w:rPr>
          <w:rFonts w:ascii="標楷體" w:eastAsia="標楷體" w:cs="標楷體"/>
          <w:kern w:val="0"/>
          <w:sz w:val="20"/>
          <w:szCs w:val="20"/>
        </w:rPr>
      </w:pPr>
      <w:r w:rsidRPr="00631FC2">
        <w:rPr>
          <w:rFonts w:ascii="標楷體" w:eastAsia="標楷體" w:cs="標楷體" w:hint="eastAsia"/>
          <w:kern w:val="0"/>
          <w:sz w:val="20"/>
          <w:szCs w:val="20"/>
        </w:rPr>
        <w:t>中華民國</w:t>
      </w:r>
      <w:r w:rsidRPr="00631FC2">
        <w:rPr>
          <w:rFonts w:ascii="標楷體" w:eastAsia="標楷體" w:cs="標楷體"/>
          <w:kern w:val="0"/>
          <w:sz w:val="20"/>
          <w:szCs w:val="20"/>
        </w:rPr>
        <w:t>104</w:t>
      </w:r>
      <w:r w:rsidRPr="00631FC2">
        <w:rPr>
          <w:rFonts w:ascii="標楷體" w:eastAsia="標楷體" w:cs="標楷體" w:hint="eastAsia"/>
          <w:kern w:val="0"/>
          <w:sz w:val="20"/>
          <w:szCs w:val="20"/>
        </w:rPr>
        <w:t>年</w:t>
      </w:r>
      <w:r w:rsidRPr="00631FC2">
        <w:rPr>
          <w:rFonts w:ascii="標楷體" w:eastAsia="標楷體" w:cs="標楷體"/>
          <w:kern w:val="0"/>
          <w:sz w:val="20"/>
          <w:szCs w:val="20"/>
        </w:rPr>
        <w:t>10</w:t>
      </w:r>
      <w:r w:rsidRPr="00631FC2">
        <w:rPr>
          <w:rFonts w:ascii="標楷體" w:eastAsia="標楷體" w:cs="標楷體" w:hint="eastAsia"/>
          <w:kern w:val="0"/>
          <w:sz w:val="20"/>
          <w:szCs w:val="20"/>
        </w:rPr>
        <w:t>月</w:t>
      </w:r>
      <w:r w:rsidRPr="00631FC2">
        <w:rPr>
          <w:rFonts w:ascii="標楷體" w:eastAsia="標楷體" w:cs="標楷體"/>
          <w:kern w:val="0"/>
          <w:sz w:val="20"/>
          <w:szCs w:val="20"/>
        </w:rPr>
        <w:t>28</w:t>
      </w:r>
      <w:r w:rsidRPr="00631FC2">
        <w:rPr>
          <w:rFonts w:ascii="標楷體" w:eastAsia="標楷體" w:cs="標楷體" w:hint="eastAsia"/>
          <w:kern w:val="0"/>
          <w:sz w:val="20"/>
          <w:szCs w:val="20"/>
        </w:rPr>
        <w:t>日</w:t>
      </w:r>
      <w:r w:rsidRPr="00631FC2">
        <w:rPr>
          <w:rFonts w:ascii="標楷體" w:eastAsia="標楷體" w:cs="標楷體"/>
          <w:kern w:val="0"/>
          <w:sz w:val="20"/>
          <w:szCs w:val="20"/>
        </w:rPr>
        <w:t xml:space="preserve"> 104</w:t>
      </w:r>
      <w:r w:rsidRPr="00631FC2">
        <w:rPr>
          <w:rFonts w:ascii="標楷體" w:eastAsia="標楷體" w:cs="標楷體" w:hint="eastAsia"/>
          <w:kern w:val="0"/>
          <w:sz w:val="20"/>
          <w:szCs w:val="20"/>
        </w:rPr>
        <w:t>學年度第</w:t>
      </w:r>
      <w:r w:rsidRPr="00631FC2">
        <w:rPr>
          <w:rFonts w:ascii="標楷體" w:eastAsia="標楷體" w:cs="標楷體"/>
          <w:kern w:val="0"/>
          <w:sz w:val="20"/>
          <w:szCs w:val="20"/>
        </w:rPr>
        <w:t>5</w:t>
      </w:r>
      <w:r w:rsidRPr="00631FC2">
        <w:rPr>
          <w:rFonts w:ascii="標楷體" w:eastAsia="標楷體" w:cs="標楷體" w:hint="eastAsia"/>
          <w:kern w:val="0"/>
          <w:sz w:val="20"/>
          <w:szCs w:val="20"/>
        </w:rPr>
        <w:t>次行政會議通過</w:t>
      </w:r>
    </w:p>
    <w:p w:rsidR="004D596D" w:rsidRPr="004D596D" w:rsidRDefault="004D596D" w:rsidP="004D596D">
      <w:pPr>
        <w:ind w:left="425" w:hangingChars="177" w:hanging="425"/>
        <w:rPr>
          <w:rFonts w:ascii="標楷體" w:eastAsia="標楷體" w:hAnsi="標楷體"/>
        </w:rPr>
      </w:pP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一、國立</w:t>
      </w:r>
      <w:r w:rsidRPr="004D596D">
        <w:rPr>
          <w:rFonts w:ascii="標楷體" w:eastAsia="標楷體" w:hAnsi="標楷體" w:cs="新細明體" w:hint="eastAsia"/>
        </w:rPr>
        <w:t>宜蘭</w:t>
      </w:r>
      <w:r w:rsidRPr="004D596D">
        <w:rPr>
          <w:rFonts w:ascii="標楷體" w:eastAsia="標楷體" w:hAnsi="標楷體" w:cs="標楷體" w:hint="eastAsia"/>
        </w:rPr>
        <w:t>大學</w:t>
      </w:r>
      <w:r w:rsidRPr="004D596D">
        <w:rPr>
          <w:rFonts w:ascii="標楷體" w:eastAsia="標楷體" w:hAnsi="標楷體"/>
        </w:rPr>
        <w:t>(</w:t>
      </w:r>
      <w:r w:rsidRPr="004D596D">
        <w:rPr>
          <w:rFonts w:ascii="標楷體" w:eastAsia="標楷體" w:hAnsi="標楷體" w:hint="eastAsia"/>
        </w:rPr>
        <w:t>以下簡稱本校</w:t>
      </w:r>
      <w:r w:rsidRPr="004D596D">
        <w:rPr>
          <w:rFonts w:ascii="標楷體" w:eastAsia="標楷體" w:hAnsi="標楷體"/>
        </w:rPr>
        <w:t>)</w:t>
      </w:r>
      <w:r w:rsidRPr="004D596D">
        <w:rPr>
          <w:rFonts w:ascii="標楷體" w:eastAsia="標楷體" w:hAnsi="標楷體" w:hint="eastAsia"/>
        </w:rPr>
        <w:t>為兼顧培育人才之目的並保障</w:t>
      </w:r>
      <w:r w:rsidRPr="004D596D">
        <w:rPr>
          <w:rFonts w:ascii="標楷體" w:eastAsia="標楷體" w:hAnsi="標楷體" w:hint="eastAsia"/>
          <w:lang w:eastAsia="zh-HK"/>
        </w:rPr>
        <w:t>勞動型</w:t>
      </w:r>
      <w:r w:rsidRPr="004D596D">
        <w:rPr>
          <w:rFonts w:ascii="標楷體" w:eastAsia="標楷體" w:hAnsi="標楷體" w:hint="eastAsia"/>
        </w:rPr>
        <w:t>學生兼任助理權益，特依據教育部訂頒「</w:t>
      </w:r>
      <w:r w:rsidRPr="004D596D">
        <w:rPr>
          <w:rFonts w:ascii="標楷體" w:eastAsia="標楷體" w:hAnsi="標楷體" w:hint="eastAsia"/>
          <w:lang w:eastAsia="zh-HK"/>
        </w:rPr>
        <w:t>專科以上學校</w:t>
      </w:r>
      <w:r w:rsidRPr="004D596D">
        <w:rPr>
          <w:rFonts w:ascii="標楷體" w:eastAsia="標楷體" w:hAnsi="標楷體" w:hint="eastAsia"/>
        </w:rPr>
        <w:t>強化學生兼任助理學習與勞動權益保障處理原則」</w:t>
      </w:r>
      <w:r w:rsidRPr="004D596D">
        <w:rPr>
          <w:rFonts w:ascii="標楷體" w:eastAsia="標楷體" w:hAnsi="標楷體" w:hint="eastAsia"/>
          <w:lang w:eastAsia="zh-HK"/>
        </w:rPr>
        <w:t>及「國立宜蘭大學兼任助理學習與勞動權益處理辦法」等，</w:t>
      </w:r>
      <w:r w:rsidRPr="004D596D">
        <w:rPr>
          <w:rFonts w:ascii="標楷體" w:eastAsia="標楷體" w:hAnsi="標楷體" w:hint="eastAsia"/>
        </w:rPr>
        <w:t>訂定「國立</w:t>
      </w:r>
      <w:r w:rsidRPr="004D596D">
        <w:rPr>
          <w:rFonts w:ascii="標楷體" w:eastAsia="標楷體" w:hAnsi="標楷體" w:cs="新細明體" w:hint="eastAsia"/>
        </w:rPr>
        <w:t>宜蘭大學勞動型</w:t>
      </w:r>
      <w:r w:rsidRPr="004D596D">
        <w:rPr>
          <w:rFonts w:ascii="標楷體" w:eastAsia="標楷體" w:hAnsi="標楷體" w:cs="新細明體" w:hint="eastAsia"/>
          <w:lang w:eastAsia="zh-HK"/>
        </w:rPr>
        <w:t>學生兼任助理</w:t>
      </w:r>
      <w:r w:rsidRPr="004D596D">
        <w:rPr>
          <w:rFonts w:ascii="標楷體" w:eastAsia="標楷體" w:hAnsi="標楷體" w:cs="新細明體" w:hint="eastAsia"/>
        </w:rPr>
        <w:t>權益處理要點</w:t>
      </w:r>
      <w:r w:rsidRPr="004D596D">
        <w:rPr>
          <w:rFonts w:ascii="標楷體" w:eastAsia="標楷體" w:hAnsi="標楷體"/>
        </w:rPr>
        <w:t>(</w:t>
      </w:r>
      <w:r w:rsidRPr="004D596D">
        <w:rPr>
          <w:rFonts w:ascii="標楷體" w:eastAsia="標楷體" w:hAnsi="標楷體" w:hint="eastAsia"/>
        </w:rPr>
        <w:t>以下簡稱本要點</w:t>
      </w:r>
      <w:r w:rsidRPr="004D596D">
        <w:rPr>
          <w:rFonts w:ascii="標楷體" w:eastAsia="標楷體" w:hAnsi="標楷體"/>
        </w:rPr>
        <w:t>)</w:t>
      </w:r>
      <w:r w:rsidRPr="004D596D">
        <w:rPr>
          <w:rFonts w:ascii="標楷體" w:eastAsia="標楷體" w:hAnsi="標楷體" w:hint="eastAsia"/>
        </w:rPr>
        <w:t>」。</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二、本要點所稱</w:t>
      </w:r>
      <w:r w:rsidRPr="004D596D">
        <w:rPr>
          <w:rFonts w:ascii="標楷體" w:eastAsia="標楷體" w:hAnsi="標楷體" w:hint="eastAsia"/>
          <w:lang w:eastAsia="zh-HK"/>
        </w:rPr>
        <w:t>「</w:t>
      </w:r>
      <w:r w:rsidRPr="004D596D">
        <w:rPr>
          <w:rFonts w:ascii="標楷體" w:eastAsia="標楷體" w:hAnsi="標楷體" w:hint="eastAsia"/>
        </w:rPr>
        <w:t>勞動型</w:t>
      </w:r>
      <w:r w:rsidRPr="004D596D">
        <w:rPr>
          <w:rFonts w:ascii="標楷體" w:eastAsia="標楷體" w:hAnsi="標楷體" w:hint="eastAsia"/>
          <w:lang w:eastAsia="zh-HK"/>
        </w:rPr>
        <w:t>學生兼任助理」(以下簡稱勞動兼任助理)</w:t>
      </w:r>
      <w:r w:rsidRPr="004D596D">
        <w:rPr>
          <w:rFonts w:ascii="標楷體" w:eastAsia="標楷體" w:hAnsi="標楷體" w:hint="eastAsia"/>
        </w:rPr>
        <w:t>，係指本校聘僱之</w:t>
      </w:r>
      <w:r w:rsidRPr="004D596D">
        <w:rPr>
          <w:rFonts w:ascii="標楷體" w:eastAsia="標楷體" w:hAnsi="標楷體" w:hint="eastAsia"/>
          <w:lang w:eastAsia="zh-HK"/>
        </w:rPr>
        <w:t>學生</w:t>
      </w:r>
      <w:r w:rsidRPr="004D596D">
        <w:rPr>
          <w:rFonts w:ascii="標楷體" w:eastAsia="標楷體" w:hAnsi="標楷體" w:hint="eastAsia"/>
        </w:rPr>
        <w:t>工作者，其與本校具</w:t>
      </w:r>
      <w:proofErr w:type="gramStart"/>
      <w:r w:rsidRPr="004D596D">
        <w:rPr>
          <w:rFonts w:ascii="標楷體" w:eastAsia="標楷體" w:hAnsi="標楷體" w:hint="eastAsia"/>
        </w:rPr>
        <w:t>僱傭</w:t>
      </w:r>
      <w:proofErr w:type="gramEnd"/>
      <w:r w:rsidRPr="004D596D">
        <w:rPr>
          <w:rFonts w:ascii="標楷體" w:eastAsia="標楷體" w:hAnsi="標楷體" w:hint="eastAsia"/>
        </w:rPr>
        <w:t>關係，雙方存有提供勞務獲取報酬之工作事實，且具從屬關係。如屬承攬或其他非屬</w:t>
      </w:r>
      <w:proofErr w:type="gramStart"/>
      <w:r w:rsidRPr="004D596D">
        <w:rPr>
          <w:rFonts w:ascii="標楷體" w:eastAsia="標楷體" w:hAnsi="標楷體" w:hint="eastAsia"/>
        </w:rPr>
        <w:t>僱傭</w:t>
      </w:r>
      <w:proofErr w:type="gramEnd"/>
      <w:r w:rsidRPr="004D596D">
        <w:rPr>
          <w:rFonts w:ascii="標楷體" w:eastAsia="標楷體" w:hAnsi="標楷體" w:hint="eastAsia"/>
        </w:rPr>
        <w:t>關係者，另依相關法令規定辦理。</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三、為健全</w:t>
      </w:r>
      <w:r w:rsidRPr="004D596D">
        <w:rPr>
          <w:rFonts w:ascii="標楷體" w:eastAsia="標楷體" w:hAnsi="標楷體" w:hint="eastAsia"/>
          <w:lang w:eastAsia="zh-HK"/>
        </w:rPr>
        <w:t>勞動兼任助理</w:t>
      </w:r>
      <w:r w:rsidRPr="004D596D">
        <w:rPr>
          <w:rFonts w:ascii="標楷體" w:eastAsia="標楷體" w:hAnsi="標楷體" w:hint="eastAsia"/>
        </w:rPr>
        <w:t>管理制度，明確規定勞資雙方權利義務，促進校內和諧共識，勞資雙方應依勞動基準法暨其施行細則、本要點及相關法令辦理。</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四、</w:t>
      </w:r>
      <w:r w:rsidRPr="004D596D">
        <w:rPr>
          <w:rFonts w:ascii="標楷體" w:eastAsia="標楷體" w:hAnsi="標楷體" w:hint="eastAsia"/>
          <w:lang w:eastAsia="zh-HK"/>
        </w:rPr>
        <w:t>勞動兼任助理</w:t>
      </w:r>
      <w:r w:rsidRPr="004D596D">
        <w:rPr>
          <w:rFonts w:ascii="標楷體" w:eastAsia="標楷體" w:hAnsi="標楷體" w:hint="eastAsia"/>
        </w:rPr>
        <w:t>以從事本校工作為限。</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五、新僱用勞動兼任助理應於起聘日至任用單位辦理報到手續，並應於到職日簽訂勞動契約。</w:t>
      </w:r>
    </w:p>
    <w:p w:rsidR="004D596D" w:rsidRPr="004D596D" w:rsidRDefault="004D596D" w:rsidP="004D596D">
      <w:pPr>
        <w:ind w:leftChars="177" w:left="425"/>
        <w:rPr>
          <w:rFonts w:ascii="標楷體" w:eastAsia="標楷體" w:hAnsi="標楷體"/>
        </w:rPr>
      </w:pPr>
      <w:r w:rsidRPr="004D596D">
        <w:rPr>
          <w:rFonts w:ascii="標楷體" w:eastAsia="標楷體" w:hAnsi="標楷體" w:hint="eastAsia"/>
        </w:rPr>
        <w:t>前項勞動契約內容應包含工作內容、聘期、工作酬勞、工作時間、工作時數、工作地點、權利義務及其他工作條件等事項。</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六、勞動兼任助理之工作酬勞由勞資雙方議定之，惟不得低於中央主管機關所核定之基本工資。</w:t>
      </w:r>
    </w:p>
    <w:p w:rsidR="004D596D" w:rsidRPr="004D596D" w:rsidRDefault="004D596D" w:rsidP="004D596D">
      <w:pPr>
        <w:ind w:left="425" w:hangingChars="177" w:hanging="425"/>
        <w:rPr>
          <w:rFonts w:ascii="標楷體" w:eastAsia="標楷體" w:hAnsi="標楷體"/>
          <w:color w:val="FF0000"/>
        </w:rPr>
      </w:pPr>
      <w:r w:rsidRPr="004D596D">
        <w:rPr>
          <w:rFonts w:ascii="標楷體" w:eastAsia="標楷體" w:hAnsi="標楷體" w:hint="eastAsia"/>
        </w:rPr>
        <w:t>七、勞動兼任助理之工作酬勞於每月三日前彙整上個月薪資資料後申請核發，如遇例假日則順延。</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八、工作時間、工作時數及工作地點由勞資雙方議定之。</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九、勞動兼任助理給假依勞動基準法、勞工請假規則、性別工作平等法及本校相關規定辦理。</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十、勞動兼任助理之考核、獎懲由任用單位主管自行辦理。</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十一、本校應依「勞工保險條例」、「全民健康保險法」、「勞工退休金條例」規定，於勞動兼任助理到職時辦理加保及提繳勞退金手續，並依相關法令享有保險給付權利。</w:t>
      </w:r>
    </w:p>
    <w:p w:rsidR="004D596D" w:rsidRPr="004D596D" w:rsidRDefault="004D596D" w:rsidP="004D596D">
      <w:pPr>
        <w:ind w:leftChars="177" w:left="425"/>
        <w:rPr>
          <w:rFonts w:ascii="標楷體" w:eastAsia="標楷體" w:hAnsi="標楷體"/>
        </w:rPr>
      </w:pPr>
      <w:r w:rsidRPr="004D596D">
        <w:rPr>
          <w:rFonts w:ascii="標楷體" w:eastAsia="標楷體" w:hAnsi="標楷體" w:hint="eastAsia"/>
        </w:rPr>
        <w:t>前項人員應自行負擔之保險費及自提之勞退金由本校按月自薪資中代為扣繳。</w:t>
      </w:r>
    </w:p>
    <w:p w:rsidR="004D596D" w:rsidRPr="004D596D" w:rsidRDefault="004D596D" w:rsidP="004D596D">
      <w:pPr>
        <w:ind w:leftChars="177" w:left="425"/>
        <w:rPr>
          <w:rFonts w:ascii="標楷體" w:eastAsia="標楷體" w:hAnsi="標楷體"/>
        </w:rPr>
      </w:pPr>
      <w:r w:rsidRPr="004D596D">
        <w:rPr>
          <w:rFonts w:ascii="標楷體" w:eastAsia="標楷體" w:hAnsi="標楷體" w:hint="eastAsia"/>
        </w:rPr>
        <w:t>未依規定辦理加保及提繳勞退金手續，其所衍生之費用或違反規定而受罰，應視責任歸屬由當事人、計畫主持人、任用單位主管負責。</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十二、勞動兼任助理如擬於契約屆滿前先行離職，應依勞動基準法規定之預告期間提出書面申請，經單位主管核准後，於離職生效日前辦妥離職手續。</w:t>
      </w:r>
    </w:p>
    <w:p w:rsidR="004D596D" w:rsidRPr="004D596D" w:rsidRDefault="004D596D" w:rsidP="004D596D">
      <w:pPr>
        <w:ind w:leftChars="177" w:left="425"/>
        <w:rPr>
          <w:rFonts w:ascii="標楷體" w:eastAsia="標楷體" w:hAnsi="標楷體"/>
        </w:rPr>
      </w:pPr>
      <w:r w:rsidRPr="004D596D">
        <w:rPr>
          <w:rFonts w:ascii="標楷體" w:eastAsia="標楷體" w:hAnsi="標楷體" w:hint="eastAsia"/>
        </w:rPr>
        <w:t>未依規定程序辦理逕行離職，致本校受損害者，本校得依法請求賠償。</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十三、勞動兼任助理聘僱</w:t>
      </w:r>
      <w:proofErr w:type="gramStart"/>
      <w:r w:rsidRPr="004D596D">
        <w:rPr>
          <w:rFonts w:ascii="標楷體" w:eastAsia="標楷體" w:hAnsi="標楷體" w:hint="eastAsia"/>
        </w:rPr>
        <w:t>期間，</w:t>
      </w:r>
      <w:proofErr w:type="gramEnd"/>
      <w:r w:rsidRPr="004D596D">
        <w:rPr>
          <w:rFonts w:ascii="標楷體" w:eastAsia="標楷體" w:hAnsi="標楷體" w:hint="eastAsia"/>
        </w:rPr>
        <w:t>有勞動基準法第十一條、第十二條及本校臨時人員工作規則所訂終止契約之情事者，本校得依勞動基準法及本校相關規定辦理。</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十四、任用單位或任用者與勞動兼任助理於聘僱期間應遵守下列事項：</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t>(</w:t>
      </w:r>
      <w:proofErr w:type="gramStart"/>
      <w:r w:rsidRPr="004D596D">
        <w:rPr>
          <w:rFonts w:ascii="標楷體" w:eastAsia="標楷體" w:hAnsi="標楷體" w:hint="eastAsia"/>
        </w:rPr>
        <w:t>一</w:t>
      </w:r>
      <w:proofErr w:type="gramEnd"/>
      <w:r w:rsidRPr="004D596D">
        <w:rPr>
          <w:rFonts w:ascii="標楷體" w:eastAsia="標楷體" w:hAnsi="標楷體" w:hint="eastAsia"/>
        </w:rPr>
        <w:t>)勞動兼任助理應依工作時間出勤，並親自簽到退，違者議處。</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lastRenderedPageBreak/>
        <w:t>(二)雙方應遵守職業安全衛生法及相關法規規定。</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t>(三)勞動兼任助理聘約期滿或中途離職，應辦理退保。未依規定辦理</w:t>
      </w:r>
      <w:proofErr w:type="gramStart"/>
      <w:r w:rsidRPr="004D596D">
        <w:rPr>
          <w:rFonts w:ascii="標楷體" w:eastAsia="標楷體" w:hAnsi="標楷體" w:hint="eastAsia"/>
        </w:rPr>
        <w:t>勞</w:t>
      </w:r>
      <w:proofErr w:type="gramEnd"/>
      <w:r w:rsidRPr="004D596D">
        <w:rPr>
          <w:rFonts w:ascii="標楷體" w:eastAsia="標楷體" w:hAnsi="標楷體" w:hint="eastAsia"/>
        </w:rPr>
        <w:t>健保及勞退轉出，因而衍生之費用，視責任歸屬由勞動兼任助理、計畫主持人、所屬任用單位主管，負責繳清。</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t>(四)勞動兼任助理應接受單位主管之指揮監督。</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t>(五)勞動兼任助理應遵守本校「資訊倫理守則」。</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t>(六)勞動兼任助理於工作時間內，非經任用單位主管允許，不得擅離工作崗位；對於任用單位主管所交付與業務有關之臨時交辦事項，不得拒絕。</w:t>
      </w:r>
    </w:p>
    <w:p w:rsidR="004D596D" w:rsidRPr="004D596D" w:rsidRDefault="004D596D" w:rsidP="004D596D">
      <w:pPr>
        <w:ind w:leftChars="118" w:left="705" w:hangingChars="176" w:hanging="422"/>
        <w:rPr>
          <w:rFonts w:ascii="標楷體" w:eastAsia="標楷體" w:hAnsi="標楷體"/>
        </w:rPr>
      </w:pPr>
      <w:r w:rsidRPr="004D596D">
        <w:rPr>
          <w:rFonts w:ascii="標楷體" w:eastAsia="標楷體" w:hAnsi="標楷體" w:hint="eastAsia"/>
        </w:rPr>
        <w:t>(七)勞動兼任助理於執行職務時，應尊重性別平等，恪守專業倫理，確實遵守性別平等教育法、性別工作平等法、校園性侵害性騷擾或</w:t>
      </w:r>
      <w:proofErr w:type="gramStart"/>
      <w:r w:rsidRPr="004D596D">
        <w:rPr>
          <w:rFonts w:ascii="標楷體" w:eastAsia="標楷體" w:hAnsi="標楷體" w:hint="eastAsia"/>
        </w:rPr>
        <w:t>性霸凌</w:t>
      </w:r>
      <w:proofErr w:type="gramEnd"/>
      <w:r w:rsidRPr="004D596D">
        <w:rPr>
          <w:rFonts w:ascii="標楷體" w:eastAsia="標楷體" w:hAnsi="標楷體" w:hint="eastAsia"/>
        </w:rPr>
        <w:t>防治準則、工作場所性騷擾防治措施申訴及懲戒辦法訂定準則及本校相關管理規定。</w:t>
      </w:r>
    </w:p>
    <w:p w:rsidR="004D596D" w:rsidRPr="004D596D" w:rsidRDefault="004D596D" w:rsidP="004D596D">
      <w:pPr>
        <w:ind w:left="425" w:hangingChars="177" w:hanging="425"/>
        <w:rPr>
          <w:rFonts w:ascii="標楷體" w:eastAsia="標楷體" w:hAnsi="標楷體"/>
          <w:color w:val="FF0000"/>
        </w:rPr>
      </w:pPr>
      <w:r w:rsidRPr="004D596D">
        <w:rPr>
          <w:rFonts w:ascii="標楷體" w:eastAsia="標楷體" w:hAnsi="標楷體" w:hint="eastAsia"/>
        </w:rPr>
        <w:t>十五、勞動兼任助理對於本校勞動條件或措施，認為違法或不當，致損害其權利或利益者，得於作成該措施或處置之次日起十日內以書面向本校「學生申訴評議委員會」提出申訴。</w:t>
      </w:r>
    </w:p>
    <w:p w:rsidR="004D596D" w:rsidRPr="004D596D" w:rsidRDefault="004D596D" w:rsidP="004D596D">
      <w:pPr>
        <w:ind w:left="425" w:hangingChars="177" w:hanging="425"/>
        <w:rPr>
          <w:rFonts w:ascii="標楷體" w:eastAsia="標楷體" w:hAnsi="標楷體"/>
        </w:rPr>
      </w:pPr>
      <w:r w:rsidRPr="004D596D">
        <w:rPr>
          <w:rFonts w:ascii="標楷體" w:eastAsia="標楷體" w:hAnsi="標楷體" w:hint="eastAsia"/>
        </w:rPr>
        <w:t>十六、其他未盡事宜依勞動基準法等相關法規辦理。</w:t>
      </w:r>
    </w:p>
    <w:p w:rsidR="004D596D" w:rsidRPr="004D596D" w:rsidRDefault="004D596D" w:rsidP="004D596D">
      <w:pPr>
        <w:ind w:left="425" w:hangingChars="177" w:hanging="425"/>
        <w:rPr>
          <w:rFonts w:ascii="標楷體" w:eastAsia="標楷體" w:hAnsi="標楷體"/>
          <w:color w:val="FF0000"/>
        </w:rPr>
      </w:pPr>
      <w:r w:rsidRPr="004D596D">
        <w:rPr>
          <w:rFonts w:ascii="標楷體" w:eastAsia="標楷體" w:hAnsi="標楷體" w:hint="eastAsia"/>
        </w:rPr>
        <w:t>十</w:t>
      </w:r>
      <w:r w:rsidRPr="004D596D">
        <w:rPr>
          <w:rFonts w:ascii="標楷體" w:eastAsia="標楷體" w:hAnsi="標楷體" w:hint="eastAsia"/>
          <w:lang w:eastAsia="zh-HK"/>
        </w:rPr>
        <w:t>七</w:t>
      </w:r>
      <w:r w:rsidRPr="004D596D">
        <w:rPr>
          <w:rFonts w:ascii="標楷體" w:eastAsia="標楷體" w:hAnsi="標楷體" w:hint="eastAsia"/>
        </w:rPr>
        <w:t>、本要點經學生事務會議、</w:t>
      </w:r>
      <w:r w:rsidRPr="004D596D">
        <w:rPr>
          <w:rFonts w:ascii="標楷體" w:eastAsia="標楷體" w:hAnsi="標楷體" w:hint="eastAsia"/>
          <w:lang w:eastAsia="zh-HK"/>
        </w:rPr>
        <w:t>行政</w:t>
      </w:r>
      <w:r w:rsidRPr="004D596D">
        <w:rPr>
          <w:rFonts w:ascii="標楷體" w:eastAsia="標楷體" w:hAnsi="標楷體" w:hint="eastAsia"/>
        </w:rPr>
        <w:t>會議通過後，陳校長核定後施行。</w:t>
      </w:r>
    </w:p>
    <w:p w:rsidR="00B571B0" w:rsidRPr="004D596D" w:rsidRDefault="00B571B0" w:rsidP="00B571B0">
      <w:pPr>
        <w:spacing w:line="440" w:lineRule="exact"/>
        <w:rPr>
          <w:rFonts w:ascii="標楷體" w:eastAsia="標楷體"/>
          <w:sz w:val="28"/>
        </w:rPr>
      </w:pPr>
    </w:p>
    <w:sectPr w:rsidR="00B571B0" w:rsidRPr="004D596D">
      <w:pgSz w:w="11906" w:h="16838" w:code="9"/>
      <w:pgMar w:top="1247"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29" w:rsidRDefault="00743229" w:rsidP="00C02C17">
      <w:r>
        <w:separator/>
      </w:r>
    </w:p>
  </w:endnote>
  <w:endnote w:type="continuationSeparator" w:id="0">
    <w:p w:rsidR="00743229" w:rsidRDefault="00743229" w:rsidP="00C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29" w:rsidRDefault="00743229" w:rsidP="00C02C17">
      <w:r>
        <w:separator/>
      </w:r>
    </w:p>
  </w:footnote>
  <w:footnote w:type="continuationSeparator" w:id="0">
    <w:p w:rsidR="00743229" w:rsidRDefault="00743229" w:rsidP="00C02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237A"/>
    <w:multiLevelType w:val="hybridMultilevel"/>
    <w:tmpl w:val="43D6E036"/>
    <w:lvl w:ilvl="0" w:tplc="79146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17"/>
    <w:rsid w:val="0006019B"/>
    <w:rsid w:val="000B2B0B"/>
    <w:rsid w:val="004D596D"/>
    <w:rsid w:val="005B28F8"/>
    <w:rsid w:val="00631664"/>
    <w:rsid w:val="00631FC2"/>
    <w:rsid w:val="00743229"/>
    <w:rsid w:val="0077112A"/>
    <w:rsid w:val="009754D4"/>
    <w:rsid w:val="00B571B0"/>
    <w:rsid w:val="00BB129D"/>
    <w:rsid w:val="00C02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C17"/>
    <w:pPr>
      <w:tabs>
        <w:tab w:val="center" w:pos="4153"/>
        <w:tab w:val="right" w:pos="8306"/>
      </w:tabs>
      <w:snapToGrid w:val="0"/>
    </w:pPr>
    <w:rPr>
      <w:sz w:val="20"/>
      <w:szCs w:val="20"/>
    </w:rPr>
  </w:style>
  <w:style w:type="character" w:customStyle="1" w:styleId="a4">
    <w:name w:val="頁首 字元"/>
    <w:link w:val="a3"/>
    <w:uiPriority w:val="99"/>
    <w:rsid w:val="00C02C17"/>
    <w:rPr>
      <w:kern w:val="2"/>
    </w:rPr>
  </w:style>
  <w:style w:type="paragraph" w:styleId="a5">
    <w:name w:val="footer"/>
    <w:basedOn w:val="a"/>
    <w:link w:val="a6"/>
    <w:uiPriority w:val="99"/>
    <w:unhideWhenUsed/>
    <w:rsid w:val="00C02C17"/>
    <w:pPr>
      <w:tabs>
        <w:tab w:val="center" w:pos="4153"/>
        <w:tab w:val="right" w:pos="8306"/>
      </w:tabs>
      <w:snapToGrid w:val="0"/>
    </w:pPr>
    <w:rPr>
      <w:sz w:val="20"/>
      <w:szCs w:val="20"/>
    </w:rPr>
  </w:style>
  <w:style w:type="character" w:customStyle="1" w:styleId="a6">
    <w:name w:val="頁尾 字元"/>
    <w:link w:val="a5"/>
    <w:uiPriority w:val="99"/>
    <w:rsid w:val="00C02C17"/>
    <w:rPr>
      <w:kern w:val="2"/>
    </w:rPr>
  </w:style>
  <w:style w:type="paragraph" w:styleId="a7">
    <w:name w:val="Balloon Text"/>
    <w:basedOn w:val="a"/>
    <w:link w:val="a8"/>
    <w:uiPriority w:val="99"/>
    <w:semiHidden/>
    <w:unhideWhenUsed/>
    <w:rsid w:val="0006019B"/>
    <w:rPr>
      <w:rFonts w:ascii="Cambria" w:hAnsi="Cambria"/>
      <w:sz w:val="18"/>
      <w:szCs w:val="18"/>
    </w:rPr>
  </w:style>
  <w:style w:type="character" w:customStyle="1" w:styleId="a8">
    <w:name w:val="註解方塊文字 字元"/>
    <w:link w:val="a7"/>
    <w:uiPriority w:val="99"/>
    <w:semiHidden/>
    <w:rsid w:val="0006019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C17"/>
    <w:pPr>
      <w:tabs>
        <w:tab w:val="center" w:pos="4153"/>
        <w:tab w:val="right" w:pos="8306"/>
      </w:tabs>
      <w:snapToGrid w:val="0"/>
    </w:pPr>
    <w:rPr>
      <w:sz w:val="20"/>
      <w:szCs w:val="20"/>
    </w:rPr>
  </w:style>
  <w:style w:type="character" w:customStyle="1" w:styleId="a4">
    <w:name w:val="頁首 字元"/>
    <w:link w:val="a3"/>
    <w:uiPriority w:val="99"/>
    <w:rsid w:val="00C02C17"/>
    <w:rPr>
      <w:kern w:val="2"/>
    </w:rPr>
  </w:style>
  <w:style w:type="paragraph" w:styleId="a5">
    <w:name w:val="footer"/>
    <w:basedOn w:val="a"/>
    <w:link w:val="a6"/>
    <w:uiPriority w:val="99"/>
    <w:unhideWhenUsed/>
    <w:rsid w:val="00C02C17"/>
    <w:pPr>
      <w:tabs>
        <w:tab w:val="center" w:pos="4153"/>
        <w:tab w:val="right" w:pos="8306"/>
      </w:tabs>
      <w:snapToGrid w:val="0"/>
    </w:pPr>
    <w:rPr>
      <w:sz w:val="20"/>
      <w:szCs w:val="20"/>
    </w:rPr>
  </w:style>
  <w:style w:type="character" w:customStyle="1" w:styleId="a6">
    <w:name w:val="頁尾 字元"/>
    <w:link w:val="a5"/>
    <w:uiPriority w:val="99"/>
    <w:rsid w:val="00C02C17"/>
    <w:rPr>
      <w:kern w:val="2"/>
    </w:rPr>
  </w:style>
  <w:style w:type="paragraph" w:styleId="a7">
    <w:name w:val="Balloon Text"/>
    <w:basedOn w:val="a"/>
    <w:link w:val="a8"/>
    <w:uiPriority w:val="99"/>
    <w:semiHidden/>
    <w:unhideWhenUsed/>
    <w:rsid w:val="0006019B"/>
    <w:rPr>
      <w:rFonts w:ascii="Cambria" w:hAnsi="Cambria"/>
      <w:sz w:val="18"/>
      <w:szCs w:val="18"/>
    </w:rPr>
  </w:style>
  <w:style w:type="character" w:customStyle="1" w:styleId="a8">
    <w:name w:val="註解方塊文字 字元"/>
    <w:link w:val="a7"/>
    <w:uiPriority w:val="99"/>
    <w:semiHidden/>
    <w:rsid w:val="0006019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Company>宜蘭技術學院</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國立宜蘭技術學院第    次行政會議提案單          提案日期：       年    月    日</dc:title>
  <dc:creator>陳淑敏</dc:creator>
  <cp:lastModifiedBy>wclien</cp:lastModifiedBy>
  <cp:revision>2</cp:revision>
  <cp:lastPrinted>2003-08-08T03:02:00Z</cp:lastPrinted>
  <dcterms:created xsi:type="dcterms:W3CDTF">2015-11-05T08:44:00Z</dcterms:created>
  <dcterms:modified xsi:type="dcterms:W3CDTF">2015-11-05T08:44:00Z</dcterms:modified>
</cp:coreProperties>
</file>